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12" w:rsidRPr="001A5312" w:rsidRDefault="00481332" w:rsidP="00423234">
      <w:pPr>
        <w:jc w:val="center"/>
        <w:rPr>
          <w:rFonts w:eastAsia="Georgia"/>
          <w:b/>
          <w:sz w:val="24"/>
          <w:szCs w:val="24"/>
        </w:rPr>
      </w:pPr>
      <w:r>
        <w:rPr>
          <w:noProof/>
          <w:lang w:eastAsia="en-US" w:bidi="ar-SA"/>
        </w:rPr>
        <w:drawing>
          <wp:anchor distT="0" distB="0" distL="114300" distR="114300" simplePos="0" relativeHeight="251658240" behindDoc="0" locked="0" layoutInCell="1" allowOverlap="1">
            <wp:simplePos x="0" y="0"/>
            <wp:positionH relativeFrom="margin">
              <wp:align>center</wp:align>
            </wp:positionH>
            <wp:positionV relativeFrom="margin">
              <wp:posOffset>57150</wp:posOffset>
            </wp:positionV>
            <wp:extent cx="3044190" cy="3017520"/>
            <wp:effectExtent l="19050" t="19050" r="22860" b="11430"/>
            <wp:wrapTopAndBottom/>
            <wp:docPr id="8" name="Picture 3" descr="Programmable Glow Driv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mable Glow Driv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812" cy="3027435"/>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23234" w:rsidRPr="00B512FA" w:rsidRDefault="00423234" w:rsidP="00423234">
      <w:pPr>
        <w:jc w:val="center"/>
        <w:rPr>
          <w:rFonts w:eastAsia="Georgia"/>
          <w:b/>
          <w:sz w:val="44"/>
          <w:szCs w:val="44"/>
        </w:rPr>
      </w:pPr>
      <w:r w:rsidRPr="00B512FA">
        <w:rPr>
          <w:rFonts w:eastAsia="Georgia"/>
          <w:b/>
          <w:sz w:val="44"/>
          <w:szCs w:val="44"/>
        </w:rPr>
        <w:t>Programmable On-board Glow Driver</w:t>
      </w:r>
    </w:p>
    <w:p w:rsidR="00BB3453" w:rsidRDefault="00BB3453">
      <w:pPr>
        <w:rPr>
          <w:rFonts w:ascii="Tahoma" w:eastAsia="Tahoma" w:hAnsi="Tahoma" w:cs="Tahoma"/>
          <w:sz w:val="24"/>
          <w:szCs w:val="24"/>
        </w:rPr>
      </w:pPr>
      <w:r>
        <w:rPr>
          <w:rFonts w:ascii="Tahoma" w:eastAsia="Tahoma" w:hAnsi="Tahoma" w:cs="Tahoma"/>
          <w:sz w:val="24"/>
          <w:szCs w:val="24"/>
        </w:rPr>
        <w:tab/>
      </w:r>
    </w:p>
    <w:p w:rsidR="00BB3453" w:rsidRPr="00F16D5F" w:rsidRDefault="00BB3453" w:rsidP="00F16D5F">
      <w:pPr>
        <w:spacing w:after="120"/>
        <w:rPr>
          <w:rFonts w:ascii="Arial Narrow" w:eastAsia="Georgia" w:hAnsi="Arial Narrow" w:cs="Georgia"/>
          <w:sz w:val="26"/>
          <w:szCs w:val="26"/>
        </w:rPr>
      </w:pPr>
      <w:r>
        <w:rPr>
          <w:rFonts w:ascii="Georgia" w:eastAsia="Georgia" w:hAnsi="Georgia" w:cs="Georgia"/>
          <w:sz w:val="24"/>
          <w:szCs w:val="24"/>
        </w:rPr>
        <w:tab/>
      </w:r>
      <w:r w:rsidRPr="00F16D5F">
        <w:rPr>
          <w:rFonts w:ascii="Arial Narrow" w:eastAsia="Georgia" w:hAnsi="Arial Narrow" w:cs="Georgia"/>
          <w:sz w:val="26"/>
          <w:szCs w:val="26"/>
        </w:rPr>
        <w:t xml:space="preserve">The Programmable On-board Glow Driver is designed to provide a steady, reliable idle for any 2 or 4 stroke 2-cycle engine by applying power to the glow plug at low throttle settings.  The throttle position at which the glow plug is </w:t>
      </w:r>
      <w:r w:rsidR="00F16D5F">
        <w:rPr>
          <w:rFonts w:ascii="Arial Narrow" w:eastAsia="Georgia" w:hAnsi="Arial Narrow" w:cs="Georgia"/>
          <w:sz w:val="26"/>
          <w:szCs w:val="26"/>
        </w:rPr>
        <w:t>“</w:t>
      </w:r>
      <w:r w:rsidRPr="00F16D5F">
        <w:rPr>
          <w:rFonts w:ascii="Arial Narrow" w:eastAsia="Georgia" w:hAnsi="Arial Narrow" w:cs="Georgia"/>
          <w:sz w:val="26"/>
          <w:szCs w:val="26"/>
        </w:rPr>
        <w:t>on</w:t>
      </w:r>
      <w:r w:rsidR="00F16D5F">
        <w:rPr>
          <w:rFonts w:ascii="Arial Narrow" w:eastAsia="Georgia" w:hAnsi="Arial Narrow" w:cs="Georgia"/>
          <w:sz w:val="26"/>
          <w:szCs w:val="26"/>
        </w:rPr>
        <w:t>”</w:t>
      </w:r>
      <w:r w:rsidRPr="00F16D5F">
        <w:rPr>
          <w:rFonts w:ascii="Arial Narrow" w:eastAsia="Georgia" w:hAnsi="Arial Narrow" w:cs="Georgia"/>
          <w:sz w:val="26"/>
          <w:szCs w:val="26"/>
        </w:rPr>
        <w:t xml:space="preserve"> is fully adjustable, and is set using the throttle stick on the transmitter itself.  This setting can be changed as often as desired, and it is stored in the circuit’s memory so it is retained even if the battery in the plane is removed.  The Red LED on the main circuit board indicates when the throttle position has been stored to memory, and is also used to indicate when the throttle direction has been successfully reversed.  The Orange LED can be mounted anywhere on or inside the model as a visual indicator that the glow plug is “hot”.  A single 1.2 volt </w:t>
      </w:r>
      <w:r w:rsidR="006A3F35">
        <w:rPr>
          <w:rFonts w:ascii="Arial Narrow" w:eastAsia="Georgia" w:hAnsi="Arial Narrow" w:cs="Georgia"/>
          <w:sz w:val="26"/>
          <w:szCs w:val="26"/>
        </w:rPr>
        <w:t>2200</w:t>
      </w:r>
      <w:r w:rsidRPr="00F16D5F">
        <w:rPr>
          <w:rFonts w:ascii="Arial Narrow" w:eastAsia="Georgia" w:hAnsi="Arial Narrow" w:cs="Georgia"/>
          <w:sz w:val="26"/>
          <w:szCs w:val="26"/>
        </w:rPr>
        <w:t>mAH Ni-Cad Sub-C</w:t>
      </w:r>
      <w:r w:rsidR="00F83FEE" w:rsidRPr="00F16D5F">
        <w:rPr>
          <w:rFonts w:ascii="Arial Narrow" w:eastAsia="Georgia" w:hAnsi="Arial Narrow" w:cs="Georgia"/>
          <w:sz w:val="26"/>
          <w:szCs w:val="26"/>
        </w:rPr>
        <w:t xml:space="preserve"> </w:t>
      </w:r>
      <w:r w:rsidRPr="00F16D5F">
        <w:rPr>
          <w:rFonts w:ascii="Arial Narrow" w:eastAsia="Georgia" w:hAnsi="Arial Narrow" w:cs="Georgia"/>
          <w:sz w:val="26"/>
          <w:szCs w:val="26"/>
        </w:rPr>
        <w:t xml:space="preserve">battery is also included in the kit to provide power to the glow plug so the receiver‘s battery is not drained.  </w:t>
      </w:r>
      <w:r w:rsidR="00F16D5F">
        <w:rPr>
          <w:rFonts w:ascii="Arial Narrow" w:eastAsia="Georgia" w:hAnsi="Arial Narrow" w:cs="Georgia"/>
          <w:sz w:val="26"/>
          <w:szCs w:val="26"/>
        </w:rPr>
        <w:t xml:space="preserve">(The twin cylinder version includes a two-cell </w:t>
      </w:r>
      <w:r w:rsidR="00306E90">
        <w:rPr>
          <w:rFonts w:ascii="Arial Narrow" w:eastAsia="Georgia" w:hAnsi="Arial Narrow" w:cs="Georgia"/>
          <w:sz w:val="26"/>
          <w:szCs w:val="26"/>
        </w:rPr>
        <w:t xml:space="preserve">4400mAh </w:t>
      </w:r>
      <w:r w:rsidR="00F16D5F">
        <w:rPr>
          <w:rFonts w:ascii="Arial Narrow" w:eastAsia="Georgia" w:hAnsi="Arial Narrow" w:cs="Georgia"/>
          <w:sz w:val="26"/>
          <w:szCs w:val="26"/>
        </w:rPr>
        <w:t xml:space="preserve">parallel pack for extra power).  </w:t>
      </w:r>
      <w:r w:rsidRPr="00F16D5F">
        <w:rPr>
          <w:rFonts w:ascii="Arial Narrow" w:eastAsia="Georgia" w:hAnsi="Arial Narrow" w:cs="Georgia"/>
          <w:sz w:val="26"/>
          <w:szCs w:val="26"/>
        </w:rPr>
        <w:t>The Glow Driver itself can either be plugged into your receiver’s throttle channel using a standard servo wye, or can be plugged into a spare channel that is mixed with the throttle channel.  If used with a mix, the Glow Driver can then be enabled or disabled with a switch on the transmitter.</w:t>
      </w:r>
    </w:p>
    <w:p w:rsidR="00BB3453" w:rsidRPr="00F16D5F" w:rsidRDefault="00BB3453" w:rsidP="00F16D5F">
      <w:pPr>
        <w:spacing w:after="120"/>
        <w:rPr>
          <w:rFonts w:ascii="Arial Narrow" w:eastAsia="Georgia" w:hAnsi="Arial Narrow" w:cs="Georgia"/>
          <w:sz w:val="26"/>
          <w:szCs w:val="26"/>
        </w:rPr>
      </w:pPr>
      <w:r w:rsidRPr="00F16D5F">
        <w:rPr>
          <w:rFonts w:ascii="Arial Narrow" w:eastAsia="Georgia" w:hAnsi="Arial Narrow" w:cs="Georgia"/>
          <w:sz w:val="26"/>
          <w:szCs w:val="26"/>
        </w:rPr>
        <w:tab/>
        <w:t xml:space="preserve">Install the Glow Driver in your plane in whatever manner you prefer, the location of the components is not critical, but it should be positioned so that you can access the Throttle Position Set Switch on the main circuit board at least until the correct throttle position can be set.  Plug the 3-pin servo lead into your receiver, and connect the 1.2 volt Sub-C battery to the </w:t>
      </w:r>
      <w:r w:rsidR="006A3F35">
        <w:rPr>
          <w:rFonts w:ascii="Arial Narrow" w:eastAsia="Georgia" w:hAnsi="Arial Narrow" w:cs="Georgia"/>
          <w:sz w:val="26"/>
          <w:szCs w:val="26"/>
        </w:rPr>
        <w:t>D</w:t>
      </w:r>
      <w:r w:rsidRPr="00F16D5F">
        <w:rPr>
          <w:rFonts w:ascii="Arial Narrow" w:eastAsia="Georgia" w:hAnsi="Arial Narrow" w:cs="Georgia"/>
          <w:sz w:val="26"/>
          <w:szCs w:val="26"/>
        </w:rPr>
        <w:t xml:space="preserve">eans plug coming from the circuit board.  Connect the long red wire with the black boot onto your engine’s glow plug, and secure the long white wire with the ring terminal on one end to one of the engine’s mounting bolts.  The white wire must be grounded to the engine for the circuit to work properly.  The Orange LED can be mounted anywhere on the model that is convenient, i.e. on the side of the fuse or on the instrument panel under the canopy.  I suggest you locate it so that you can see it easily as you attempt to start the engine.  </w:t>
      </w:r>
      <w:r w:rsidR="00A639EC">
        <w:rPr>
          <w:rFonts w:ascii="Arial Narrow" w:eastAsia="Georgia" w:hAnsi="Arial Narrow" w:cs="Georgia"/>
          <w:sz w:val="26"/>
          <w:szCs w:val="26"/>
        </w:rPr>
        <w:t xml:space="preserve">A black plastic holder is included for the LED to make </w:t>
      </w:r>
      <w:r w:rsidR="002A274D">
        <w:rPr>
          <w:rFonts w:ascii="Arial Narrow" w:eastAsia="Georgia" w:hAnsi="Arial Narrow" w:cs="Georgia"/>
          <w:sz w:val="26"/>
          <w:szCs w:val="26"/>
        </w:rPr>
        <w:t>the installation neater</w:t>
      </w:r>
      <w:r w:rsidR="00A639EC">
        <w:rPr>
          <w:rFonts w:ascii="Arial Narrow" w:eastAsia="Georgia" w:hAnsi="Arial Narrow" w:cs="Georgia"/>
          <w:sz w:val="26"/>
          <w:szCs w:val="26"/>
        </w:rPr>
        <w:t xml:space="preserve">.  </w:t>
      </w:r>
      <w:r w:rsidRPr="00F16D5F">
        <w:rPr>
          <w:rFonts w:ascii="Arial Narrow" w:eastAsia="Georgia" w:hAnsi="Arial Narrow" w:cs="Georgia"/>
          <w:sz w:val="26"/>
          <w:szCs w:val="26"/>
        </w:rPr>
        <w:t>Once you’re satisfied with the throttle set point and are sure that everything is working correctly, the Glow Driver circuit board can be wrapped in foam or bubble wrap (my favorite) and secured inside the fuse with screws, Velcro, cable ties, or whatever fastener you prefer.  Secure the 1.2 volt battery inside the fuse as well, but be sure to position it so that you can get to the Deans plug easily to disconnect the battery when not in use and for charging.</w:t>
      </w:r>
    </w:p>
    <w:p w:rsidR="00B512FA" w:rsidRDefault="00B512FA" w:rsidP="00B512FA">
      <w:pPr>
        <w:jc w:val="center"/>
        <w:rPr>
          <w:rFonts w:ascii="Georgia" w:eastAsia="Georgia" w:hAnsi="Georgia" w:cs="Georgia"/>
          <w:sz w:val="24"/>
          <w:szCs w:val="24"/>
        </w:rPr>
      </w:pPr>
      <w:r>
        <w:rPr>
          <w:rFonts w:ascii="Georgia" w:eastAsia="Georgia" w:hAnsi="Georgia" w:cs="Georgia"/>
          <w:sz w:val="24"/>
          <w:szCs w:val="24"/>
        </w:rPr>
        <w:t>(</w:t>
      </w:r>
      <w:proofErr w:type="gramStart"/>
      <w:r>
        <w:rPr>
          <w:rFonts w:ascii="Georgia" w:eastAsia="Georgia" w:hAnsi="Georgia" w:cs="Georgia"/>
          <w:sz w:val="24"/>
          <w:szCs w:val="24"/>
        </w:rPr>
        <w:t>continued</w:t>
      </w:r>
      <w:proofErr w:type="gramEnd"/>
      <w:r>
        <w:rPr>
          <w:rFonts w:ascii="Georgia" w:eastAsia="Georgia" w:hAnsi="Georgia" w:cs="Georgia"/>
          <w:sz w:val="24"/>
          <w:szCs w:val="24"/>
        </w:rPr>
        <w:t xml:space="preserve"> on back)</w:t>
      </w:r>
      <w:bookmarkStart w:id="0" w:name="_GoBack"/>
      <w:bookmarkEnd w:id="0"/>
    </w:p>
    <w:p w:rsidR="00BB3453" w:rsidRDefault="00481332" w:rsidP="00423234">
      <w:pPr>
        <w:jc w:val="center"/>
        <w:rPr>
          <w:rFonts w:ascii="BRADDON" w:eastAsia="BRADDON" w:hAnsi="BRADDON" w:cs="BRADDON"/>
          <w:sz w:val="24"/>
          <w:szCs w:val="24"/>
        </w:rPr>
      </w:pPr>
      <w:r>
        <w:rPr>
          <w:rFonts w:ascii="BRADDON" w:eastAsia="BRADDON" w:hAnsi="BRADDON" w:cs="BRADDON"/>
          <w:noProof/>
          <w:sz w:val="24"/>
          <w:szCs w:val="24"/>
          <w:lang w:eastAsia="en-US" w:bidi="ar-SA"/>
        </w:rPr>
        <w:lastRenderedPageBreak/>
        <w:drawing>
          <wp:inline distT="0" distB="0" distL="0" distR="0">
            <wp:extent cx="1600200" cy="2466975"/>
            <wp:effectExtent l="0" t="0" r="0" b="0"/>
            <wp:docPr id="2" name="Picture 1" descr="Programmable Glow Dri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able Glow Drive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466975"/>
                    </a:xfrm>
                    <a:prstGeom prst="rect">
                      <a:avLst/>
                    </a:prstGeom>
                    <a:noFill/>
                    <a:ln>
                      <a:noFill/>
                    </a:ln>
                  </pic:spPr>
                </pic:pic>
              </a:graphicData>
            </a:graphic>
          </wp:inline>
        </w:drawing>
      </w:r>
    </w:p>
    <w:p w:rsidR="00BB3453" w:rsidRPr="00756EE0" w:rsidRDefault="00BB3453">
      <w:pPr>
        <w:rPr>
          <w:rFonts w:ascii="Arial Narrow" w:eastAsia="BRADDON" w:hAnsi="Arial Narrow" w:cs="BRADDON"/>
          <w:sz w:val="26"/>
          <w:szCs w:val="26"/>
        </w:rPr>
      </w:pPr>
    </w:p>
    <w:p w:rsidR="00BB3453" w:rsidRPr="00756EE0" w:rsidRDefault="00BB3453">
      <w:pPr>
        <w:rPr>
          <w:rFonts w:ascii="Arial Narrow" w:eastAsia="Georgia" w:hAnsi="Arial Narrow" w:cs="Georgia"/>
          <w:sz w:val="26"/>
          <w:szCs w:val="26"/>
        </w:rPr>
      </w:pPr>
      <w:r w:rsidRPr="00756EE0">
        <w:rPr>
          <w:rFonts w:ascii="Arial Narrow" w:eastAsia="Georgia" w:hAnsi="Arial Narrow" w:cs="Georgia"/>
          <w:sz w:val="26"/>
          <w:szCs w:val="26"/>
        </w:rPr>
        <w:tab/>
        <w:t xml:space="preserve">When powered for the first time, the Glow Driver will have a throttle position stored in its memory that will light the glow plug at approximately ¼ </w:t>
      </w:r>
      <w:proofErr w:type="gramStart"/>
      <w:r w:rsidRPr="00756EE0">
        <w:rPr>
          <w:rFonts w:ascii="Arial Narrow" w:eastAsia="Georgia" w:hAnsi="Arial Narrow" w:cs="Georgia"/>
          <w:sz w:val="26"/>
          <w:szCs w:val="26"/>
        </w:rPr>
        <w:t>throttle</w:t>
      </w:r>
      <w:proofErr w:type="gramEnd"/>
      <w:r w:rsidRPr="00756EE0">
        <w:rPr>
          <w:rFonts w:ascii="Arial Narrow" w:eastAsia="Georgia" w:hAnsi="Arial Narrow" w:cs="Georgia"/>
          <w:sz w:val="26"/>
          <w:szCs w:val="26"/>
        </w:rPr>
        <w:t>. To choose a new set point, follow these instructions:</w:t>
      </w:r>
    </w:p>
    <w:p w:rsidR="00BB3453" w:rsidRPr="00756EE0" w:rsidRDefault="00BB3453">
      <w:pPr>
        <w:rPr>
          <w:rFonts w:ascii="Arial Narrow" w:eastAsia="Georgia" w:hAnsi="Arial Narrow" w:cs="Georgia"/>
          <w:sz w:val="26"/>
          <w:szCs w:val="26"/>
        </w:rPr>
      </w:pPr>
    </w:p>
    <w:p w:rsidR="00BB3453" w:rsidRPr="00756EE0" w:rsidRDefault="00BB3453">
      <w:pPr>
        <w:numPr>
          <w:ilvl w:val="0"/>
          <w:numId w:val="1"/>
        </w:numPr>
        <w:tabs>
          <w:tab w:val="left" w:pos="1080"/>
        </w:tabs>
        <w:ind w:left="1080"/>
        <w:rPr>
          <w:rFonts w:ascii="Arial Narrow" w:eastAsia="Georgia" w:hAnsi="Arial Narrow" w:cs="Georgia"/>
          <w:sz w:val="26"/>
          <w:szCs w:val="26"/>
        </w:rPr>
      </w:pPr>
      <w:r w:rsidRPr="00756EE0">
        <w:rPr>
          <w:rFonts w:ascii="Arial Narrow" w:eastAsia="Georgia" w:hAnsi="Arial Narrow" w:cs="Georgia"/>
          <w:sz w:val="26"/>
          <w:szCs w:val="26"/>
        </w:rPr>
        <w:t xml:space="preserve">Turn on the transmitter, then the plane, and move the throttle stick to the position where you want the glow plug to come on.  </w:t>
      </w:r>
    </w:p>
    <w:p w:rsidR="00BB3453" w:rsidRPr="00756EE0" w:rsidRDefault="00BB3453">
      <w:pPr>
        <w:numPr>
          <w:ilvl w:val="0"/>
          <w:numId w:val="1"/>
        </w:numPr>
        <w:tabs>
          <w:tab w:val="left" w:pos="1080"/>
        </w:tabs>
        <w:ind w:left="1080"/>
        <w:rPr>
          <w:rFonts w:ascii="Arial Narrow" w:eastAsia="Georgia" w:hAnsi="Arial Narrow" w:cs="Georgia"/>
          <w:sz w:val="26"/>
          <w:szCs w:val="26"/>
        </w:rPr>
      </w:pPr>
      <w:r w:rsidRPr="00756EE0">
        <w:rPr>
          <w:rFonts w:ascii="Arial Narrow" w:eastAsia="Georgia" w:hAnsi="Arial Narrow" w:cs="Georgia"/>
          <w:sz w:val="26"/>
          <w:szCs w:val="26"/>
        </w:rPr>
        <w:t xml:space="preserve">Press and hold the Throttle Position Set Switch (see picture) for about 2 seconds. The Red LED on the circuit board will blink </w:t>
      </w:r>
      <w:r w:rsidR="00335F95">
        <w:rPr>
          <w:rFonts w:ascii="Arial Narrow" w:eastAsia="Georgia" w:hAnsi="Arial Narrow" w:cs="Georgia"/>
          <w:sz w:val="26"/>
          <w:szCs w:val="26"/>
        </w:rPr>
        <w:t>twice</w:t>
      </w:r>
      <w:r w:rsidRPr="00756EE0">
        <w:rPr>
          <w:rFonts w:ascii="Arial Narrow" w:eastAsia="Georgia" w:hAnsi="Arial Narrow" w:cs="Georgia"/>
          <w:sz w:val="26"/>
          <w:szCs w:val="26"/>
        </w:rPr>
        <w:t xml:space="preserve"> to indicate that the throttle position has been successfully stored.   Now</w:t>
      </w:r>
      <w:r w:rsidR="00335F95">
        <w:rPr>
          <w:rFonts w:ascii="Arial Narrow" w:eastAsia="Georgia" w:hAnsi="Arial Narrow" w:cs="Georgia"/>
          <w:sz w:val="26"/>
          <w:szCs w:val="26"/>
        </w:rPr>
        <w:t>,</w:t>
      </w:r>
      <w:r w:rsidRPr="00756EE0">
        <w:rPr>
          <w:rFonts w:ascii="Arial Narrow" w:eastAsia="Georgia" w:hAnsi="Arial Narrow" w:cs="Georgia"/>
          <w:sz w:val="26"/>
          <w:szCs w:val="26"/>
        </w:rPr>
        <w:t xml:space="preserve"> whenever the throttle stick is moved to or below this position, the glow plug will be hot, and the Orange LED will be on.  </w:t>
      </w:r>
    </w:p>
    <w:p w:rsidR="00BB3453" w:rsidRPr="00756EE0" w:rsidRDefault="00BB3453">
      <w:pPr>
        <w:numPr>
          <w:ilvl w:val="0"/>
          <w:numId w:val="1"/>
        </w:numPr>
        <w:tabs>
          <w:tab w:val="left" w:pos="1080"/>
        </w:tabs>
        <w:ind w:left="1080"/>
        <w:rPr>
          <w:rFonts w:ascii="Arial Narrow" w:eastAsia="Georgia" w:hAnsi="Arial Narrow" w:cs="Georgia"/>
          <w:sz w:val="26"/>
          <w:szCs w:val="26"/>
        </w:rPr>
      </w:pPr>
      <w:r w:rsidRPr="00756EE0">
        <w:rPr>
          <w:rFonts w:ascii="Arial Narrow" w:eastAsia="Georgia" w:hAnsi="Arial Narrow" w:cs="Georgia"/>
          <w:sz w:val="26"/>
          <w:szCs w:val="26"/>
        </w:rPr>
        <w:t xml:space="preserve">If you find that the operation of the circuit is backwards, that is, the glow plug is “on” at high throttle settings and “off” at low settings, the circuit’s operation can easily be reversed.  Repeat steps 1 and 2 above, but once the Red LED has </w:t>
      </w:r>
      <w:r w:rsidR="00335F95">
        <w:rPr>
          <w:rFonts w:ascii="Arial Narrow" w:eastAsia="Georgia" w:hAnsi="Arial Narrow" w:cs="Georgia"/>
          <w:sz w:val="26"/>
          <w:szCs w:val="26"/>
        </w:rPr>
        <w:t>blinked twice to</w:t>
      </w:r>
      <w:r w:rsidRPr="00756EE0">
        <w:rPr>
          <w:rFonts w:ascii="Arial Narrow" w:eastAsia="Georgia" w:hAnsi="Arial Narrow" w:cs="Georgia"/>
          <w:sz w:val="26"/>
          <w:szCs w:val="26"/>
        </w:rPr>
        <w:t xml:space="preserve"> indicate the set position has been stored, release the button and quickly press and hold it again.  The Red LED will now blink </w:t>
      </w:r>
      <w:r w:rsidR="00335F95">
        <w:rPr>
          <w:rFonts w:ascii="Arial Narrow" w:eastAsia="Georgia" w:hAnsi="Arial Narrow" w:cs="Georgia"/>
          <w:sz w:val="26"/>
          <w:szCs w:val="26"/>
        </w:rPr>
        <w:t>three times</w:t>
      </w:r>
      <w:r w:rsidRPr="00756EE0">
        <w:rPr>
          <w:rFonts w:ascii="Arial Narrow" w:eastAsia="Georgia" w:hAnsi="Arial Narrow" w:cs="Georgia"/>
          <w:sz w:val="26"/>
          <w:szCs w:val="26"/>
        </w:rPr>
        <w:t xml:space="preserve">, to indicate the throttle’s direction has been reversed.  </w:t>
      </w:r>
    </w:p>
    <w:p w:rsidR="00BB3453" w:rsidRPr="00756EE0" w:rsidRDefault="00BB3453">
      <w:pPr>
        <w:numPr>
          <w:ilvl w:val="0"/>
          <w:numId w:val="1"/>
        </w:numPr>
        <w:tabs>
          <w:tab w:val="left" w:pos="1080"/>
        </w:tabs>
        <w:ind w:left="1080"/>
        <w:rPr>
          <w:rFonts w:ascii="Arial Narrow" w:eastAsia="Georgia" w:hAnsi="Arial Narrow" w:cs="Georgia"/>
          <w:sz w:val="26"/>
          <w:szCs w:val="26"/>
        </w:rPr>
      </w:pPr>
      <w:r w:rsidRPr="00756EE0">
        <w:rPr>
          <w:rFonts w:ascii="Arial Narrow" w:eastAsia="Georgia" w:hAnsi="Arial Narrow" w:cs="Georgia"/>
          <w:sz w:val="26"/>
          <w:szCs w:val="26"/>
        </w:rPr>
        <w:t>Your Programmable On-board Glow Driver is now ready to use.</w:t>
      </w:r>
    </w:p>
    <w:p w:rsidR="00BB3453" w:rsidRPr="00756EE0" w:rsidRDefault="00BB3453">
      <w:pPr>
        <w:rPr>
          <w:rFonts w:ascii="Arial Narrow" w:eastAsia="Georgia" w:hAnsi="Arial Narrow" w:cs="Georgia"/>
          <w:sz w:val="26"/>
          <w:szCs w:val="26"/>
        </w:rPr>
      </w:pPr>
    </w:p>
    <w:p w:rsidR="00BB3453" w:rsidRPr="00756EE0" w:rsidRDefault="00BB3453">
      <w:pPr>
        <w:rPr>
          <w:rFonts w:ascii="Arial Narrow" w:eastAsia="Georgia" w:hAnsi="Arial Narrow" w:cs="Georgia"/>
          <w:sz w:val="26"/>
          <w:szCs w:val="26"/>
        </w:rPr>
      </w:pPr>
      <w:r w:rsidRPr="00756EE0">
        <w:rPr>
          <w:rFonts w:ascii="Arial Narrow" w:eastAsia="Georgia" w:hAnsi="Arial Narrow" w:cs="Georgia"/>
          <w:sz w:val="26"/>
          <w:szCs w:val="26"/>
        </w:rPr>
        <w:tab/>
        <w:t xml:space="preserve">To recharge the 1.2 volt battery, simply unplug the </w:t>
      </w:r>
      <w:r w:rsidR="00423234" w:rsidRPr="00756EE0">
        <w:rPr>
          <w:rFonts w:ascii="Arial Narrow" w:eastAsia="Georgia" w:hAnsi="Arial Narrow" w:cs="Georgia"/>
          <w:sz w:val="26"/>
          <w:szCs w:val="26"/>
        </w:rPr>
        <w:t>D</w:t>
      </w:r>
      <w:r w:rsidRPr="00756EE0">
        <w:rPr>
          <w:rFonts w:ascii="Arial Narrow" w:eastAsia="Georgia" w:hAnsi="Arial Narrow" w:cs="Georgia"/>
          <w:sz w:val="26"/>
          <w:szCs w:val="26"/>
        </w:rPr>
        <w:t xml:space="preserve">eans connector from the Glow Driver, and connect it to your favorite Ni-Cad charger.  Most chargers will automatically detect the number of cells and adjust the charge voltage and current settings accordingly.  If necessary, manually set your charger’s output to charge a single, 1.2 volt </w:t>
      </w:r>
      <w:r w:rsidR="00CB4314">
        <w:rPr>
          <w:rFonts w:ascii="Arial Narrow" w:eastAsia="Georgia" w:hAnsi="Arial Narrow" w:cs="Georgia"/>
          <w:sz w:val="26"/>
          <w:szCs w:val="26"/>
        </w:rPr>
        <w:t>22</w:t>
      </w:r>
      <w:r w:rsidRPr="00756EE0">
        <w:rPr>
          <w:rFonts w:ascii="Arial Narrow" w:eastAsia="Georgia" w:hAnsi="Arial Narrow" w:cs="Georgia"/>
          <w:sz w:val="26"/>
          <w:szCs w:val="26"/>
        </w:rPr>
        <w:t>00mAh Ni-Cad battery.  You can also modify a common glow igniter charger</w:t>
      </w:r>
      <w:r w:rsidR="00756EE0">
        <w:rPr>
          <w:rFonts w:ascii="Arial Narrow" w:eastAsia="Georgia" w:hAnsi="Arial Narrow" w:cs="Georgia"/>
          <w:sz w:val="26"/>
          <w:szCs w:val="26"/>
        </w:rPr>
        <w:t xml:space="preserve"> (like a “Hot Shot”)</w:t>
      </w:r>
      <w:r w:rsidRPr="00756EE0">
        <w:rPr>
          <w:rFonts w:ascii="Arial Narrow" w:eastAsia="Georgia" w:hAnsi="Arial Narrow" w:cs="Georgia"/>
          <w:sz w:val="26"/>
          <w:szCs w:val="26"/>
        </w:rPr>
        <w:t xml:space="preserve">, just splice into the wires somewhere near the end that connects to the glow plug, and add a couple of short wires with </w:t>
      </w:r>
      <w:r w:rsidR="00756EE0">
        <w:rPr>
          <w:rFonts w:ascii="Arial Narrow" w:eastAsia="Georgia" w:hAnsi="Arial Narrow" w:cs="Georgia"/>
          <w:sz w:val="26"/>
          <w:szCs w:val="26"/>
        </w:rPr>
        <w:t>the</w:t>
      </w:r>
      <w:r w:rsidRPr="00756EE0">
        <w:rPr>
          <w:rFonts w:ascii="Arial Narrow" w:eastAsia="Georgia" w:hAnsi="Arial Narrow" w:cs="Georgia"/>
          <w:sz w:val="26"/>
          <w:szCs w:val="26"/>
        </w:rPr>
        <w:t xml:space="preserve"> male Deans plug on the end that </w:t>
      </w:r>
      <w:r w:rsidR="00756EE0">
        <w:rPr>
          <w:rFonts w:ascii="Arial Narrow" w:eastAsia="Georgia" w:hAnsi="Arial Narrow" w:cs="Georgia"/>
          <w:sz w:val="26"/>
          <w:szCs w:val="26"/>
        </w:rPr>
        <w:t>is included in the kit</w:t>
      </w:r>
      <w:r w:rsidRPr="00756EE0">
        <w:rPr>
          <w:rFonts w:ascii="Arial Narrow" w:eastAsia="Georgia" w:hAnsi="Arial Narrow" w:cs="Georgia"/>
          <w:sz w:val="26"/>
          <w:szCs w:val="26"/>
        </w:rPr>
        <w:t xml:space="preserve">.  Be careful to match the polarity of the wires on the battery to the wires coming from your charger.  </w:t>
      </w:r>
    </w:p>
    <w:p w:rsidR="00756EE0" w:rsidRPr="00305860" w:rsidRDefault="0079296A" w:rsidP="00756EE0">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756EE0" w:rsidRPr="00137B6C" w:rsidRDefault="00756EE0" w:rsidP="00756EE0">
      <w:pPr>
        <w:jc w:val="center"/>
        <w:rPr>
          <w:rFonts w:ascii="Arial Narrow" w:hAnsi="Arial Narrow" w:cs="Arial Narrow"/>
          <w:b/>
          <w:bCs/>
          <w:i/>
          <w:iCs/>
          <w:color w:val="000000"/>
          <w:sz w:val="16"/>
          <w:szCs w:val="16"/>
        </w:rPr>
      </w:pPr>
    </w:p>
    <w:p w:rsidR="00756EE0" w:rsidRPr="00B36E89" w:rsidRDefault="00756EE0" w:rsidP="00756EE0">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56EE0" w:rsidRPr="00B36E89" w:rsidRDefault="00756EE0" w:rsidP="00756EE0">
      <w:pPr>
        <w:jc w:val="center"/>
        <w:rPr>
          <w:rFonts w:ascii="BRADDON" w:hAnsi="BRADDON" w:cs="BRADDON"/>
          <w:iCs/>
          <w:color w:val="000000"/>
          <w:sz w:val="16"/>
          <w:szCs w:val="16"/>
        </w:rPr>
      </w:pPr>
      <w:r>
        <w:rPr>
          <w:noProof/>
          <w:lang w:eastAsia="en-US" w:bidi="ar-SA"/>
        </w:rPr>
        <w:drawing>
          <wp:anchor distT="0" distB="0" distL="114300" distR="114300" simplePos="0" relativeHeight="251660288" behindDoc="1" locked="0" layoutInCell="1" allowOverlap="1" wp14:anchorId="38DEA6BB" wp14:editId="50AF1C17">
            <wp:simplePos x="0" y="0"/>
            <wp:positionH relativeFrom="margin">
              <wp:posOffset>2286000</wp:posOffset>
            </wp:positionH>
            <wp:positionV relativeFrom="margin">
              <wp:posOffset>7645421</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EE0" w:rsidRPr="00B36E89" w:rsidRDefault="00756EE0" w:rsidP="00756EE0">
      <w:pPr>
        <w:jc w:val="center"/>
        <w:rPr>
          <w:rFonts w:ascii="BRADDON" w:hAnsi="BRADDON" w:cs="BRADDON"/>
          <w:iCs/>
          <w:color w:val="000000"/>
          <w:sz w:val="32"/>
          <w:szCs w:val="32"/>
        </w:rPr>
      </w:pPr>
      <w:r>
        <w:rPr>
          <w:noProof/>
          <w:lang w:eastAsia="en-US" w:bidi="ar-SA"/>
        </w:rPr>
        <w:drawing>
          <wp:anchor distT="0" distB="0" distL="114300" distR="114300" simplePos="0" relativeHeight="251661312" behindDoc="1" locked="0" layoutInCell="1" allowOverlap="1" wp14:anchorId="68D5751F" wp14:editId="5FFB0D23">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56EE0" w:rsidRPr="003B2D21" w:rsidRDefault="00756EE0" w:rsidP="00756EE0">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56EE0" w:rsidRPr="003B2D21" w:rsidRDefault="00756EE0" w:rsidP="00756EE0">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756EE0" w:rsidRPr="003B2D21" w:rsidRDefault="00756EE0" w:rsidP="00756EE0">
      <w:pPr>
        <w:rPr>
          <w:rFonts w:ascii="Tahoma" w:hAnsi="Tahoma" w:cs="Tahoma"/>
          <w:sz w:val="28"/>
          <w:szCs w:val="28"/>
        </w:rPr>
      </w:pPr>
      <w:r>
        <w:rPr>
          <w:noProof/>
          <w:lang w:eastAsia="en-US" w:bidi="ar-SA"/>
        </w:rPr>
        <mc:AlternateContent>
          <mc:Choice Requires="wps">
            <w:drawing>
              <wp:anchor distT="0" distB="0" distL="114300" distR="114300" simplePos="0" relativeHeight="251662336" behindDoc="0" locked="0" layoutInCell="1" allowOverlap="1" wp14:anchorId="3D33E09D" wp14:editId="0A3CCC44">
                <wp:simplePos x="0" y="0"/>
                <wp:positionH relativeFrom="column">
                  <wp:posOffset>5448300</wp:posOffset>
                </wp:positionH>
                <wp:positionV relativeFrom="paragraph">
                  <wp:posOffset>170180</wp:posOffset>
                </wp:positionV>
                <wp:extent cx="1000125" cy="290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EE0" w:rsidRPr="00305860" w:rsidRDefault="00756EE0" w:rsidP="00756EE0">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pt;margin-top:13.4pt;width:78.7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B9tFy0&#10;ggIAAA8FAAAOAAAAAAAAAAAAAAAAAC4CAABkcnMvZTJvRG9jLnhtbFBLAQItABQABgAIAAAAIQAh&#10;9s0h3gAAAAoBAAAPAAAAAAAAAAAAAAAAANwEAABkcnMvZG93bnJldi54bWxQSwUGAAAAAAQABADz&#10;AAAA5wUAAAAA&#10;" stroked="f">
                <v:textbox>
                  <w:txbxContent>
                    <w:p w:rsidR="00756EE0" w:rsidRPr="00305860" w:rsidRDefault="00756EE0" w:rsidP="00756EE0">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433321" w:rsidRPr="001A5312" w:rsidRDefault="00433321" w:rsidP="00756EE0">
      <w:pPr>
        <w:jc w:val="center"/>
        <w:rPr>
          <w:rFonts w:ascii="Tahoma" w:hAnsi="Tahoma" w:cs="Tahoma"/>
          <w:szCs w:val="24"/>
        </w:rPr>
      </w:pPr>
    </w:p>
    <w:sectPr w:rsidR="00433321" w:rsidRPr="001A5312" w:rsidSect="00F16D5F">
      <w:footerReference w:type="default" r:id="rId1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6A" w:rsidRDefault="0079296A">
      <w:r>
        <w:separator/>
      </w:r>
    </w:p>
  </w:endnote>
  <w:endnote w:type="continuationSeparator" w:id="0">
    <w:p w:rsidR="0079296A" w:rsidRDefault="007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53" w:rsidRDefault="00BB345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6A" w:rsidRDefault="0079296A">
      <w:r>
        <w:separator/>
      </w:r>
    </w:p>
  </w:footnote>
  <w:footnote w:type="continuationSeparator" w:id="0">
    <w:p w:rsidR="0079296A" w:rsidRDefault="00792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21"/>
    <w:rsid w:val="0001794F"/>
    <w:rsid w:val="000F77B3"/>
    <w:rsid w:val="001A5312"/>
    <w:rsid w:val="002A274D"/>
    <w:rsid w:val="002B7F87"/>
    <w:rsid w:val="00306E90"/>
    <w:rsid w:val="00335F95"/>
    <w:rsid w:val="00412394"/>
    <w:rsid w:val="00423234"/>
    <w:rsid w:val="00433321"/>
    <w:rsid w:val="00481332"/>
    <w:rsid w:val="0061339F"/>
    <w:rsid w:val="006A3F35"/>
    <w:rsid w:val="00743D63"/>
    <w:rsid w:val="00756EE0"/>
    <w:rsid w:val="0079296A"/>
    <w:rsid w:val="007F2503"/>
    <w:rsid w:val="00A639EC"/>
    <w:rsid w:val="00B512FA"/>
    <w:rsid w:val="00BB3453"/>
    <w:rsid w:val="00CB4314"/>
    <w:rsid w:val="00E131BC"/>
    <w:rsid w:val="00F16D5F"/>
    <w:rsid w:val="00F83FEE"/>
    <w:rsid w:val="00FE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character" w:styleId="Hyperlink">
    <w:name w:val="Hyperlink"/>
    <w:rsid w:val="00433321"/>
    <w:rPr>
      <w:color w:val="0000FF"/>
      <w:u w:val="single"/>
    </w:rPr>
  </w:style>
  <w:style w:type="paragraph" w:styleId="BalloonText">
    <w:name w:val="Balloon Text"/>
    <w:basedOn w:val="Normal"/>
    <w:link w:val="BalloonTextChar"/>
    <w:rsid w:val="00481332"/>
    <w:rPr>
      <w:rFonts w:ascii="Tahoma" w:hAnsi="Tahoma" w:cs="Mangal"/>
      <w:sz w:val="16"/>
      <w:szCs w:val="14"/>
    </w:rPr>
  </w:style>
  <w:style w:type="character" w:customStyle="1" w:styleId="BalloonTextChar">
    <w:name w:val="Balloon Text Char"/>
    <w:basedOn w:val="DefaultParagraphFont"/>
    <w:link w:val="BalloonText"/>
    <w:rsid w:val="00481332"/>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character" w:styleId="Hyperlink">
    <w:name w:val="Hyperlink"/>
    <w:rsid w:val="00433321"/>
    <w:rPr>
      <w:color w:val="0000FF"/>
      <w:u w:val="single"/>
    </w:rPr>
  </w:style>
  <w:style w:type="paragraph" w:styleId="BalloonText">
    <w:name w:val="Balloon Text"/>
    <w:basedOn w:val="Normal"/>
    <w:link w:val="BalloonTextChar"/>
    <w:rsid w:val="00481332"/>
    <w:rPr>
      <w:rFonts w:ascii="Tahoma" w:hAnsi="Tahoma" w:cs="Mangal"/>
      <w:sz w:val="16"/>
      <w:szCs w:val="14"/>
    </w:rPr>
  </w:style>
  <w:style w:type="character" w:customStyle="1" w:styleId="BalloonTextChar">
    <w:name w:val="Balloon Text Char"/>
    <w:basedOn w:val="DefaultParagraphFont"/>
    <w:link w:val="BalloonText"/>
    <w:rsid w:val="00481332"/>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McCormick</dc:creator>
  <cp:keywords/>
  <cp:lastModifiedBy>David N. McCormick</cp:lastModifiedBy>
  <cp:revision>7</cp:revision>
  <cp:lastPrinted>2019-11-25T19:15:00Z</cp:lastPrinted>
  <dcterms:created xsi:type="dcterms:W3CDTF">2018-07-04T03:33:00Z</dcterms:created>
  <dcterms:modified xsi:type="dcterms:W3CDTF">2020-05-13T18:35:00Z</dcterms:modified>
</cp:coreProperties>
</file>